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A" w:rsidRPr="00C0667F" w:rsidRDefault="00B948EA" w:rsidP="00C0667F">
      <w:pPr>
        <w:spacing w:after="0" w:line="240" w:lineRule="auto"/>
        <w:jc w:val="center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 создания информационно – нормативной базы по охране труда</w:t>
      </w:r>
    </w:p>
    <w:p w:rsidR="00B948EA" w:rsidRPr="00C0667F" w:rsidRDefault="00B948EA" w:rsidP="00C0667F">
      <w:pPr>
        <w:spacing w:line="240" w:lineRule="auto"/>
        <w:rPr>
          <w:rFonts w:ascii="Verdana" w:hAnsi="Verdana" w:cs="Arial"/>
          <w:color w:val="000000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Согласно требованиям ГОСТ Р 12.0.006.-2002 система управления ОТ-ПБ организации должна обеспечивать: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передачу информации об условиях и охране труда между различными уровнями управления и подразделениями;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получение необходимой информации по охране труда от внешних заинтересованных организаций и ее документальное оформление;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передачу информации по условиям и охране труда для заинтересованных сторон.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Организация должна разрабатывать и обеспечивать ведение документации (на бумажных носителях или в электронном виде), которая устанавливает основные процедуры системы управления охраной труда и промышленной безопасностью в их взаимодействии. Документация должна быть удобочитаемой, легко идентифицируемой, сопровождаться указанием даты введения в действие и срока действия. Документация должна храниться в учтенной форме в течение установленного срока. Должны быть установлены методы и определены обязанности, касающиеся разработки и обновления документов различного вида.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Организация должна разрабатывать и поддерживать методы контроля документации и контроля данных с тем, чтобы: - документы периодически анализировались, при необходимости корректировались и переутверждались уполномоченными лицами;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копии учтенных документов и принятых данных были доступными на всех местах;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отмененные документы и данные соответственно изымались или защищались каким-либо другим способом.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Для создания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законодательных, правовых и нормативных актах по безопасности и охране труда в организации и решения других задач рекомендуется создавать кабинеты охраны труда.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Кабинет охраны труда создается на основе постановления Минтруда РФ «Об утверждении Рекомендаций по организации работы кабинета охраны труда и уголка охраны труда» от 17.01.01 г. № 7. В соответствии с Рекомендациями тематическая структура кабинета предполагает включение общего и специального разделов.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Законодательные, правовые и нормативные документы, содержащие требования охраны труда и промышленной безопасности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Государственные нормативные требования охраны труда – это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РФ, а также законах и иных нормативных правовых актах субъектов РФ (ст. 211 ТК РФ).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Требования промышленной безопасности – это условия, запреты, ограничения и другие обязательные требования, содержащиеся в ФЗ № 116 «О промышленной безопасности опасных производственных объектов», других правовых актах РФ, а также в нормативных правовых актах (государственные стандарты, ПБ, инструкции), применяемых в установленном порядке (ст. 3 ФЗ № 116).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Кроме законодательных актов (Федеральных законов, Кодексов РФ, законов субъектов РФ), действует многочисленная и многообразная по содержанию группа правовых и нормативных документов (Указы Президента РФ, постановления Правительства РФ и нормативные правовые акты федеральных органов исполнительной власти, органов власти субъектов РФ и органов местного самоуправления, нормативно-методические документы), содержащая требования охраны труда и промышленной безопасности. В настоящее время по оценкам Всероссийского центра охраны труда (ВЦОТ) действует около 3 тысяч нормативных правовых актов по безопасности и охране труда.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Локальные нормативные акты, включающие требования охраны труда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Трудовой кодекс предусматривает разработку локальных нормативных актов в области трудовых отношений и охраны труда, принимаемых: - единолично работодателем (штатное расписание, должностные инструкции, приказы и распоряжения, положение о персонале, положение о порядке ведения коллективных переговоров, положение о комиссии по трудовым спорам, стандарты организаций, положение об организации работ по охране труда, положение о системе управления охраной труда, приказ о создании комитета (комиссии) по охране труда, положение о порядке обучения и проверки знаний по охране труда, перечень профессий и работ с повышенными требованиями, перечень мест производств и видов работ по наряду - допуску, технологические регламенты, перечень категорий работников обязанных проходить медосмотры, перечни тяжелых работ и работ с вредными (опасными) условиями труда, на которых запрещено (ограничено) применение труда лиц моложе 18 лет и женщин; - с учетом мнения представительного органа работников (правила внутреннего трудового распорядка, графики сменности, положение об оплате труда и стимулирующих выплатах, акты, устанавливающие нормы труда); - с учетом мнения выборного профсоюзного органа (инструкции по охране труда, очередность предоставления отпусков, акты о нормировании труда, акты, устанавливающие разделение дня на части, продолжительность вахты и режим труда и отдыха).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Локальные нормативные акты, включающие требования промышленной безопасности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Федеральный закон № 116 предусматривает разработку локальных нормативных актов в области промышленной безопасности: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приказы и распоряжения, в т.ч. о распределении обязанностей по выполнению и контролю требований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положения о производственном контроле и функциональных службах и специализированных участках;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должностные инструкции;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инструкции по охране труда и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положение о порядке обучения и проверки знаний по охране труда и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перечень профессий и работ с повышенными требованиями;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перечень мест производств и видов работ по наряду - допуску;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положение о нарядной системе;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технологические регламенты;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положение о порядке использования спецодежды, спецобуви и других средств индивидуальной и коллективной защиты;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планы мероприятий по обеспечению требований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планы мероприятий по безопасному ведению работ;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планы локализации аварий и инцидентов, а также ликвидации их последствий,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планы проведения контрольно-профилактических проверок;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положения о порядке действий при возникновении инцидентов, аварий, их расследовании, учете и т.д.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Мероприятия по выполнению требований охраны труда</w:t>
      </w: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br/>
        <w:t>и промышленной безопасности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b/>
          <w:bCs/>
          <w:color w:val="000000"/>
          <w:sz w:val="24"/>
          <w:szCs w:val="24"/>
          <w:lang w:eastAsia="ru-RU"/>
        </w:rPr>
        <w:t>Мероприятия по обеспечению требований охраны труда к работникам, эксплуатирующим опасные производственные объекты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Работники должны соответствовать квалификационным требованиям и не иметь противопоказаний к указанной работе. Должность работника должна соответствовать установленным требованиям по комплектованию штата опасных производственных объектов (ОПО). К эксплуатации и обслуживанию технических устройств допускаются лица, прошедшие соответствующее обучение и имеющие документы установленного образца.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Работник должен пройти подготовку и аттестацию в области охраны труда и промышленной безопасности в установленном порядке. Аттестация включает в себя не только проверку знаний и умений, но и проверку соответствия профессионального образования и стажа работы в занимаемой должности с учетом квалификационных требований, предусмотренных Квалификационным справочником и Квалификационными требованиями, а также требованиями межотраслевых (отраслевых) нормативных актов по ОТ и ПБ. </w:t>
      </w:r>
      <w:r w:rsidRPr="00C0667F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C0667F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color w:val="000000"/>
          <w:sz w:val="24"/>
          <w:szCs w:val="24"/>
          <w:lang w:eastAsia="ru-RU"/>
        </w:rPr>
        <w:t>Квалификационные требования работников ОПО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Квалификационными требованиями в сфере охраны труда и промышленной безопасности к руководителям и специалистам организаций установлены требования к основным должностным категориям. В соответствии с этим нормативным документом руководители должны иметь: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организации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высшее профессиональное образование (техническое, инженерно-экономическое);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стаж работы на руководящих должностях не менее 5 лет;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охране труда и промышленной безопасности в установленном порядке.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Главный инженер (технический руководитель)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высшее профессиональное образование (техническое);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стаж работы на руководящих должностях не менее 5 лет;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охране труда и промышленной безопасности в установленном порядке.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>Руководитель службы охраны труда и промышленной безопасности (ОТ и ПБ)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высшее профессиональное образование (техническое);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стаж работы на руководящих должностях не менее 3 лет;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охране труда;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Специалист по ОТ: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вышеуказанные требования;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или высшее образование по специальности «Безопасность технологических процессов и производств» без предъявления требований к стажу работы.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структурного подразделения: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высшее профессиональное образование (техническое);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стаж работы на руководящих должностях не менее 3 лет;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охране труда;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промышленной безопасности.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C0667F">
        <w:rPr>
          <w:rFonts w:ascii="Verdana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смены (мастер, специалист)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высшее или среднее профессиональное образование;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стаж работы по профилю деятельности. При высшем профессиональном образовании не менее 1 года. При среднем профессиональном образовании не менее 3 лет;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подготовку и аттестацию по ОТ и ПБ в установленном порядке.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Типовыми отраслевыми положениями о системе управления охраной труда, отраслевыми положениями о порядке предоставления права руководства отдельными видами работ, а также межотраслевыми (отраслевыми) правилами и инструкциями по ОТ и ПБ устанавливаются дополнительные требования к профессиональному образованию, стажу работы и к обучению и аттестации.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Должностные обязанности работников по обеспечению требований охраны труда и промышленной безопасности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Руководитель имеет право делегировать подчиненным ему должностным лицам часть своих обязанностей по обеспечению требований охраны труда и промышленной безопасности. В Квалификационных требованиях приведены примерные должностные обязанности в сфере охраны труда и промышленной безопасности по основным должностным категориям, по которым руководители выполняют: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руководитель организации - примерно 40 обязанностей;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главный инженер (технический руководитель) - примерно 30 обязанностей;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руководитель службы ОТ и ПБ - примерно 56 обязанностей;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руководитель структурного подразделения - примерно 36 обязанностей;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руководитель смены (мастер, специалист) - примерно 17 обязанностей.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При разработке должностных инструкций конкретных работников должностные обязанности в сфере охраны труда и промышленной безопасности должны быть сформулированы с учетом условий производства, структуры и системы управления, действующих в организации, а также требований отраслевых и локальных нормативных актов организации, квалификации и производственного опыта работников.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Соглашения по охране труда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Одним из основных принципов регулирования отношений между работодателем и работниками является социальное партнерство в сфере охраны труда. Ведущими формами социального партнерства являются трудовой договор и коллективный договор и (или) соглашение. Через коллективный договор, включающий соглашение по улучшению условий труда, реализуются права работника и обязанности работодателя. В соответствии со ст. 45 ТК РФ «Соглашение - правовой акт, регулирующий социально – 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работодателей…». В Соглашение могут включаться взаимные обязательства сторон по следующим вопросам: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оплаты труда;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условий и охраны труда;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режима труда и отдыха;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развития социального партнерства;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иные вопросы, определенные сторонами.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Соглашение по договоренности сторон, участвующих в коллективных переговорах, может быть двух или трех сторонним и заключаться сторонами на любом уровне социального партнерства по отдельным направлениям регулирования социально – трудовых отношений и иных, непосредственно связанных с ними отношений.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Порядок разработки и действия Соглашения определен в ст. ст. 45 – 51 ТК РФ. Проект соглашения разрабатывается в ходе коллективных переговоров. Содержание, структура Соглашения, порядок, сроки разработки проекта и его заключения определяются комиссией. Соглашение вступает в силу со дня его подписания сторонами либо со дня, установленного соглашением.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Срок действия Соглашения определяется сторонами, но не может превышать 3 лет. Стороны имеют право продлить действие Соглашения на срок не более 3 лет. Коллективный договор и Соглашение в течение 7 дней со дня подписания направляются представителем работодателя на уведомительную регистрацию в соответствующий орган по труду. Вступление Коллективного договора и Соглашения в силу не зависит от факта их уведомительной регистрации. При осуществлении регистрации орган по труду выявляет условия, ухудшающие положение работников и сообщает об этом представителям сторон, подписавших Коллективный договор и Соглашение, а также в соответствующую государственную инспекцию труда. Условия, ухудшающие положение работников, недействительны и не подлежат применению.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Методической основой для разработки соглашений по охране труда является постановление Минтруда РФ «Об утверждении рекомендаций по планированию мероприятий по охране труда» от 27.02.95 г. № 11. Соглашение по охране труда в этом документе рассматривается как правовая форма планирования и проведения мероприятий по охране труда. В этом документе должны точно называться мероприятия, сроки их реализации, объемы финансовых и материальных затрат, ответственные исполнители. На основе Соглашения по охране труда составляются квартальные, месячные планы по отдельным подразделениям предприятия.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Процесс управления охраной труда и промышленной безопасностью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Управление охраной труда и промышленной безопасностью должно осуществляться в следующей последовательности: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проведение анализа состояния охраны труда и промышленной безопасности;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принятие решений и планирование мероприятий;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подготовка к выполнению мероприятий;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выполнение запланированных мероприятий и требований по обеспечению безопасности при выполнении работ;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контроль выполнения запланированных мероприятий.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hyperlink r:id="rId4" w:history="1">
        <w:r w:rsidRPr="00C0667F">
          <w:rPr>
            <w:rFonts w:ascii="Trebuchet MS" w:hAnsi="Trebuchet MS" w:cs="Arial"/>
            <w:b/>
            <w:bCs/>
            <w:color w:val="000000"/>
            <w:kern w:val="36"/>
            <w:sz w:val="31"/>
            <w:szCs w:val="31"/>
            <w:lang w:eastAsia="ru-RU"/>
          </w:rPr>
          <w:t xml:space="preserve">Порядок планирования </w:t>
        </w:r>
      </w:hyperlink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Планирование мероприятий по охране труда и промышленной безопасности проводится с учетом анализа, оценки и прогноза состояния безопасности, сделанных выводов, а также с учётом предложений контролирующих органов, профсоюзов.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Служба охраны труда разрабатывает перспективные и текущие планы. Согласно ст. 226 ТК РФ финансирование мероприятий по улучшению условий и охраны труда осуществляется за счет средств федерального бюджета, бюджетов субъектов РФ, местных бюджетов, внебюджетных источников, а также за счет средств от штрафов, взыскиваемых за нарушение трудового законодательства, добровольных взносов организаций и физических лиц.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0,2 % суммы затрат на производство продукции (работ, услуг).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Выделяемые на охрану труда средства необходимо концентрировать в фонде охраны труда организации, в соответствии с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 В планах мероприятий должен быть обсчитан необходимый объём средств и определен источник финансирования. Принятые решения по намечаемым мероприятиям отражаются в локальном нормативном акте – Комплексном плане мероприятий по охране труда и промышленной безопасности. 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before="75" w:after="75" w:line="240" w:lineRule="auto"/>
        <w:jc w:val="center"/>
        <w:outlineLvl w:val="0"/>
        <w:rPr>
          <w:rFonts w:ascii="Trebuchet MS" w:hAnsi="Trebuchet MS" w:cs="Arial"/>
          <w:color w:val="3A4345"/>
          <w:kern w:val="36"/>
          <w:sz w:val="31"/>
          <w:szCs w:val="31"/>
          <w:lang w:eastAsia="ru-RU"/>
        </w:rPr>
      </w:pP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t>Комплексный план мероприятий по охране труда</w:t>
      </w:r>
      <w:r w:rsidRPr="00C0667F">
        <w:rPr>
          <w:rFonts w:ascii="Trebuchet MS" w:hAnsi="Trebuchet MS" w:cs="Arial"/>
          <w:b/>
          <w:bCs/>
          <w:color w:val="000000"/>
          <w:kern w:val="36"/>
          <w:sz w:val="31"/>
          <w:szCs w:val="31"/>
          <w:lang w:eastAsia="ru-RU"/>
        </w:rPr>
        <w:br/>
        <w:t>и промышленной безопасности</w:t>
      </w:r>
    </w:p>
    <w:p w:rsidR="00B948EA" w:rsidRPr="00C0667F" w:rsidRDefault="00B948EA" w:rsidP="00C0667F">
      <w:pPr>
        <w:spacing w:after="0"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</w:p>
    <w:p w:rsidR="00B948EA" w:rsidRPr="00C0667F" w:rsidRDefault="00B948EA" w:rsidP="00C0667F">
      <w:pPr>
        <w:spacing w:line="240" w:lineRule="auto"/>
        <w:rPr>
          <w:rFonts w:ascii="Arial" w:hAnsi="Arial" w:cs="Arial"/>
          <w:color w:val="335099"/>
          <w:sz w:val="24"/>
          <w:szCs w:val="24"/>
          <w:lang w:eastAsia="ru-RU"/>
        </w:rPr>
      </w:pP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t xml:space="preserve">В этом документе определяется номенклатура мероприятий, объемы и сроки их выполнения, ответственные за выполнение мероприятий должностные лица, стоимость, источники финансирования. Разработку Комплексного плана осуществляет комиссия во главе с главным инженера (техническим директором).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После обсуждения в трудовом коллективе, согласования с представителями профсоюзов и органами государственного надзора Комплексный план утверждается приказом руководителя. В Комплексный план должны быть включены все мероприятия и требования по охране труда, обусловленные Коллективным договором.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Основными составными частями Комплексного плана являются: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технические мероприятия по предупреждению опасных и вредных производственных факторов (мероприятия по обеспечению средствами коллективной и индивидуальной защиты; мероприятия по улучшению освещения рабочих мест; мероприятия по борьбе с вибрацией и шумом; мероприятия по предупреждению электротравматизма, пожаров и т.п.);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мероприятия по предупреждению аварий, по готовности к локализации и устранению последствий аварий;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лечебно-профилактические и оздоровительные мероприятия (строительство и реконструкция медпунктов, АБК, гардеробных, душевых, помещений для личной гигиены, прачечных, пунктов для химчистки одежды; строительство и оборудование кабинетов по охране труда, учебных пунктов; проведение медосмотров; строительство и оснащение физкультурно-оздоровительных сооружений и т.п.);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организационные мероприятия (профотбор, обучение охране труда и промышленной безопасности, повышение квалификации, инструктажи, тренировки, проверка знаний; проведение совещаний, собраний, заседаний комиссий по охране труда и т.п.);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мероприятия по профилактическому контролю состояния охраны труда и промышленной безопасности в организации;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мероприятия по образованию (реорганизации) специальных органов управления системой охраны труда и промышленной безопасности (служб, отделов, комитетов, комиссий);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мероприятия по созданию нормативно-правовой базы системы охраны труда и промышленной безопасности (положений, указаний, инструкций, регламентов и т.п.);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подготовка и представление отчетности о системе охраны труда и промышленной безопасности в соответствующие органы; </w:t>
      </w:r>
      <w:r w:rsidRPr="00C0667F">
        <w:rPr>
          <w:rFonts w:ascii="Verdana" w:hAnsi="Verdana" w:cs="Arial"/>
          <w:color w:val="000000"/>
          <w:sz w:val="24"/>
          <w:szCs w:val="24"/>
          <w:lang w:eastAsia="ru-RU"/>
        </w:rPr>
        <w:br/>
        <w:t xml:space="preserve">- социально-экономические мероприятия. </w:t>
      </w:r>
    </w:p>
    <w:p w:rsidR="00B948EA" w:rsidRDefault="00B948EA"/>
    <w:sectPr w:rsidR="00B948EA" w:rsidSect="00C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7F"/>
    <w:rsid w:val="004A7A6E"/>
    <w:rsid w:val="006255A7"/>
    <w:rsid w:val="0094779C"/>
    <w:rsid w:val="00B948EA"/>
    <w:rsid w:val="00C0667F"/>
    <w:rsid w:val="00C12157"/>
    <w:rsid w:val="00D3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667F"/>
    <w:pPr>
      <w:spacing w:before="75" w:after="75" w:line="240" w:lineRule="auto"/>
      <w:outlineLvl w:val="0"/>
    </w:pPr>
    <w:rPr>
      <w:rFonts w:ascii="Trebuchet MS" w:eastAsia="Times New Roman" w:hAnsi="Trebuchet MS"/>
      <w:color w:val="3A4345"/>
      <w:kern w:val="36"/>
      <w:sz w:val="31"/>
      <w:szCs w:val="3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7F"/>
    <w:rPr>
      <w:rFonts w:ascii="Trebuchet MS" w:hAnsi="Trebuchet MS" w:cs="Times New Roman"/>
      <w:color w:val="3A4345"/>
      <w:kern w:val="36"/>
      <w:sz w:val="31"/>
      <w:szCs w:val="31"/>
      <w:lang w:eastAsia="ru-RU"/>
    </w:rPr>
  </w:style>
  <w:style w:type="character" w:styleId="Strong">
    <w:name w:val="Strong"/>
    <w:basedOn w:val="DefaultParagraphFont"/>
    <w:uiPriority w:val="99"/>
    <w:qFormat/>
    <w:rsid w:val="00C066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4025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ku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2678</Words>
  <Characters>15270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2011-11-24T08:06:00Z</dcterms:created>
  <dcterms:modified xsi:type="dcterms:W3CDTF">2012-04-17T06:03:00Z</dcterms:modified>
</cp:coreProperties>
</file>